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3ADD" w:rsidP="00A115A3" w:rsidRDefault="00187023" w14:paraId="18700051" w14:textId="416B2BF7">
      <w:pPr>
        <w:pStyle w:val="StandardWeb"/>
        <w:spacing w:line="360" w:lineRule="auto"/>
      </w:pPr>
      <w:r>
        <w:rPr>
          <w:rFonts w:ascii="Arial" w:hAnsi="Arial" w:cs="Arial"/>
          <w:noProof/>
        </w:rPr>
        <mc:AlternateContent>
          <mc:Choice Requires="wps">
            <w:drawing>
              <wp:anchor distT="0" distB="0" distL="114300" distR="114300" simplePos="0" relativeHeight="251670528" behindDoc="0" locked="0" layoutInCell="1" allowOverlap="1" wp14:anchorId="325CEFEF" wp14:editId="6D8877DC">
                <wp:simplePos x="0" y="0"/>
                <wp:positionH relativeFrom="column">
                  <wp:posOffset>-879013</wp:posOffset>
                </wp:positionH>
                <wp:positionV relativeFrom="paragraph">
                  <wp:posOffset>-733540</wp:posOffset>
                </wp:positionV>
                <wp:extent cx="7531735" cy="1163608"/>
                <wp:effectExtent l="0" t="0" r="0" b="5080"/>
                <wp:wrapNone/>
                <wp:docPr id="877901506" name="Rechteck 8"/>
                <wp:cNvGraphicFramePr/>
                <a:graphic xmlns:a="http://schemas.openxmlformats.org/drawingml/2006/main">
                  <a:graphicData uri="http://schemas.microsoft.com/office/word/2010/wordprocessingShape">
                    <wps:wsp>
                      <wps:cNvSpPr/>
                      <wps:spPr>
                        <a:xfrm>
                          <a:off x="0" y="0"/>
                          <a:ext cx="7531735" cy="1163608"/>
                        </a:xfrm>
                        <a:prstGeom prst="rect">
                          <a:avLst/>
                        </a:prstGeom>
                        <a:solidFill>
                          <a:srgbClr val="FFEC00">
                            <a:alpha val="16863"/>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8" style="position:absolute;margin-left:-69.2pt;margin-top:-57.75pt;width:593.05pt;height:91.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fec00" stroked="f" strokeweight="1pt" w14:anchorId="51B8E9B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">
                <v:fill opacity="11051f"/>
              </v:rect>
            </w:pict>
          </mc:Fallback>
        </mc:AlternateContent>
      </w:r>
      <w:r>
        <w:rPr>
          <w:rFonts w:ascii="Arial" w:hAnsi="Arial" w:cs="Arial"/>
          <w:b/>
          <w:bCs/>
          <w:noProof/>
          <w:sz w:val="50"/>
          <w:szCs w:val="50"/>
        </w:rPr>
        <w:drawing>
          <wp:anchor distT="0" distB="0" distL="114300" distR="114300" simplePos="0" relativeHeight="251669504" behindDoc="0" locked="0" layoutInCell="1" allowOverlap="1" wp14:anchorId="6D94CAAA" wp14:editId="6F66D46D">
            <wp:simplePos x="0" y="0"/>
            <wp:positionH relativeFrom="column">
              <wp:posOffset>2982629</wp:posOffset>
            </wp:positionH>
            <wp:positionV relativeFrom="paragraph">
              <wp:posOffset>-925328</wp:posOffset>
            </wp:positionV>
            <wp:extent cx="2585757" cy="1467886"/>
            <wp:effectExtent l="0" t="0" r="0" b="0"/>
            <wp:wrapNone/>
            <wp:docPr id="898322340" name="Grafik 7"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22340" name="Grafik 7" descr="Ein Bild, das Schrift, Tex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757" cy="1467886"/>
                    </a:xfrm>
                    <a:prstGeom prst="rect">
                      <a:avLst/>
                    </a:prstGeom>
                  </pic:spPr>
                </pic:pic>
              </a:graphicData>
            </a:graphic>
            <wp14:sizeRelH relativeFrom="page">
              <wp14:pctWidth>0</wp14:pctWidth>
            </wp14:sizeRelH>
            <wp14:sizeRelV relativeFrom="page">
              <wp14:pctHeight>0</wp14:pctHeight>
            </wp14:sizeRelV>
          </wp:anchor>
        </w:drawing>
      </w:r>
      <w:r w:rsidRPr="00A42D73" w:rsidR="00C14842">
        <w:rPr>
          <w:noProof/>
        </w:rPr>
        <w:drawing>
          <wp:anchor distT="0" distB="0" distL="114300" distR="114300" simplePos="0" relativeHeight="251662336" behindDoc="0" locked="1" layoutInCell="1" allowOverlap="1" wp14:anchorId="7A2FA106" wp14:editId="390F323B">
            <wp:simplePos x="0" y="0"/>
            <wp:positionH relativeFrom="column">
              <wp:posOffset>290195</wp:posOffset>
            </wp:positionH>
            <wp:positionV relativeFrom="page">
              <wp:posOffset>318135</wp:posOffset>
            </wp:positionV>
            <wp:extent cx="2019935" cy="910590"/>
            <wp:effectExtent l="0" t="0" r="0" b="3810"/>
            <wp:wrapNone/>
            <wp:docPr id="3" name="Grafik 3" descr="D:\Eigene Dateien Amelie Sigge\MCI CSHI - Arbeit\5 ÖGPH\ÖGPH Logo\PNG\PH_Logo_2018_Komp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igene Dateien Amelie Sigge\MCI CSHI - Arbeit\5 ÖGPH\ÖGPH Logo\PNG\PH_Logo_2018_Kompak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D5A" w:rsidP="00A115A3" w:rsidRDefault="00B51D5A" w14:paraId="556B2CE0" w14:textId="77777777">
      <w:pPr>
        <w:spacing w:line="360" w:lineRule="auto"/>
      </w:pPr>
    </w:p>
    <w:p w:rsidR="00A36008" w:rsidP="00A115A3" w:rsidRDefault="00A36008" w14:paraId="103B5C37" w14:textId="77777777">
      <w:pPr>
        <w:spacing w:line="360" w:lineRule="auto"/>
      </w:pPr>
    </w:p>
    <w:p w:rsidRPr="00A36008" w:rsidR="00163ADD" w:rsidP="00A36008" w:rsidRDefault="000F37B7" w14:paraId="5FB1F98E" w14:textId="4CEA3438">
      <w:pPr>
        <w:spacing w:line="360" w:lineRule="auto"/>
        <w:jc w:val="center"/>
        <w:rPr>
          <w:rStyle w:val="hljs-selector-tag"/>
          <w:rFonts w:ascii="Arial" w:hAnsi="Arial" w:cs="Arial"/>
          <w:b/>
          <w:bCs/>
          <w:sz w:val="32"/>
          <w:szCs w:val="32"/>
        </w:rPr>
      </w:pPr>
      <w:r w:rsidRPr="00A36008">
        <w:rPr>
          <w:rStyle w:val="hljs-selector-tag"/>
          <w:rFonts w:ascii="Arial" w:hAnsi="Arial" w:cs="Arial"/>
          <w:b/>
          <w:bCs/>
          <w:sz w:val="32"/>
          <w:szCs w:val="32"/>
        </w:rPr>
        <w:t>Code of Conduct für das Mentoring Programm</w:t>
      </w:r>
    </w:p>
    <w:p w:rsidR="003D3759" w:rsidP="00A115A3" w:rsidRDefault="003D3759" w14:paraId="4A16EEB8" w14:textId="77777777">
      <w:pPr>
        <w:spacing w:line="360" w:lineRule="auto"/>
        <w:rPr>
          <w:rStyle w:val="hljs-selector-tag"/>
          <w:rFonts w:ascii="Arial" w:hAnsi="Arial" w:cs="Arial"/>
        </w:rPr>
      </w:pPr>
    </w:p>
    <w:p w:rsidRPr="00A115A3" w:rsidR="000F37B7" w:rsidP="00A115A3" w:rsidRDefault="000F37B7" w14:paraId="1F46AB08" w14:textId="7DCBD749">
      <w:pPr>
        <w:spacing w:line="360" w:lineRule="auto"/>
        <w:rPr>
          <w:rStyle w:val="hljs-selector-tag"/>
          <w:rFonts w:ascii="Arial" w:hAnsi="Arial" w:cs="Arial"/>
          <w:b/>
          <w:bCs/>
        </w:rPr>
      </w:pPr>
      <w:r w:rsidRPr="00A115A3">
        <w:rPr>
          <w:rStyle w:val="hljs-selector-tag"/>
          <w:rFonts w:ascii="Arial" w:hAnsi="Arial" w:cs="Arial"/>
          <w:b/>
          <w:bCs/>
        </w:rPr>
        <w:t>Präambel</w:t>
      </w:r>
    </w:p>
    <w:p w:rsidR="000F37B7" w:rsidP="620AECBD" w:rsidRDefault="000F37B7" w14:paraId="2AE37C3D" w14:textId="5E562DBF">
      <w:pPr>
        <w:spacing w:line="360" w:lineRule="auto"/>
        <w:jc w:val="both"/>
        <w:rPr>
          <w:rStyle w:val="hljs-selector-tag"/>
          <w:rFonts w:ascii="Arial" w:hAnsi="Arial" w:cs="Arial"/>
        </w:rPr>
      </w:pPr>
      <w:r w:rsidRPr="620AECBD" w:rsidR="000F37B7">
        <w:rPr>
          <w:rStyle w:val="hljs-selector-tag"/>
          <w:rFonts w:ascii="Arial" w:hAnsi="Arial" w:cs="Arial"/>
        </w:rPr>
        <w:t>Dieser Code of Conduct (CoC) bildet das Fundament für eine wertschätzende, respektvolle und fachlich fundierte Zusammenarbeit im Rahmen des Mentoring-Programms der Österreichischen Gesellschaft für Public Health (ÖGPH) und der Young ÖGPH.</w:t>
      </w:r>
    </w:p>
    <w:p w:rsidR="000F37B7" w:rsidP="620AECBD" w:rsidRDefault="000F37B7" w14:paraId="55688765" w14:textId="1B11A659">
      <w:pPr>
        <w:spacing w:line="360" w:lineRule="auto"/>
        <w:jc w:val="both"/>
        <w:rPr>
          <w:rStyle w:val="hljs-selector-tag"/>
          <w:rFonts w:ascii="Arial" w:hAnsi="Arial" w:cs="Arial"/>
        </w:rPr>
      </w:pPr>
      <w:r w:rsidRPr="620AECBD" w:rsidR="000F37B7">
        <w:rPr>
          <w:rStyle w:val="hljs-selector-tag"/>
          <w:rFonts w:ascii="Arial" w:hAnsi="Arial" w:cs="Arial"/>
        </w:rPr>
        <w:t>Als verbindliche Leitlinie richtet er sich an alle Teilnehmenden des Programms – insbesondere an die Mentees (Studierende, Promovierende und Berufseinsteige</w:t>
      </w:r>
      <w:r w:rsidRPr="620AECBD" w:rsidR="7C17946C">
        <w:rPr>
          <w:rStyle w:val="hljs-selector-tag"/>
          <w:rFonts w:ascii="Arial" w:hAnsi="Arial" w:cs="Arial"/>
        </w:rPr>
        <w:t>nde)</w:t>
      </w:r>
      <w:r w:rsidRPr="620AECBD" w:rsidR="000F37B7">
        <w:rPr>
          <w:rStyle w:val="hljs-selector-tag"/>
          <w:rFonts w:ascii="Arial" w:hAnsi="Arial" w:cs="Arial"/>
        </w:rPr>
        <w:t xml:space="preserve"> sowie an die Mentor</w:t>
      </w:r>
      <w:r w:rsidRPr="620AECBD" w:rsidR="730056AC">
        <w:rPr>
          <w:rStyle w:val="hljs-selector-tag"/>
          <w:rFonts w:ascii="Arial" w:hAnsi="Arial" w:cs="Arial"/>
        </w:rPr>
        <w:t>I</w:t>
      </w:r>
      <w:r w:rsidRPr="620AECBD" w:rsidR="000F37B7">
        <w:rPr>
          <w:rStyle w:val="hljs-selector-tag"/>
          <w:rFonts w:ascii="Arial" w:hAnsi="Arial" w:cs="Arial"/>
        </w:rPr>
        <w:t>nnen (erfahrene Expert</w:t>
      </w:r>
      <w:r w:rsidRPr="620AECBD" w:rsidR="6B8CA00F">
        <w:rPr>
          <w:rStyle w:val="hljs-selector-tag"/>
          <w:rFonts w:ascii="Arial" w:hAnsi="Arial" w:cs="Arial"/>
        </w:rPr>
        <w:t>I</w:t>
      </w:r>
      <w:r w:rsidRPr="620AECBD" w:rsidR="000F37B7">
        <w:rPr>
          <w:rStyle w:val="hljs-selector-tag"/>
          <w:rFonts w:ascii="Arial" w:hAnsi="Arial" w:cs="Arial"/>
        </w:rPr>
        <w:t>nnen aus Wissenschaft und Praxis). Ziel ist es, einen sicheren Raum für persönlichen Austausch, berufliche Weiterentwicklung und die nachhaltige Stärkung der Public Health Community in Österreich zu schaffen.</w:t>
      </w:r>
    </w:p>
    <w:p w:rsidR="000F37B7" w:rsidP="00A115A3" w:rsidRDefault="000F37B7" w14:paraId="1EF6C1C7" w14:textId="77777777">
      <w:pPr>
        <w:spacing w:line="360" w:lineRule="auto"/>
        <w:rPr>
          <w:rStyle w:val="hljs-selector-tag"/>
          <w:rFonts w:ascii="Arial" w:hAnsi="Arial" w:cs="Arial"/>
        </w:rPr>
      </w:pPr>
    </w:p>
    <w:p w:rsidRPr="007767A7" w:rsidR="000F37B7" w:rsidP="00A115A3" w:rsidRDefault="00A115A3" w14:paraId="7A377DD5" w14:textId="36F93D75">
      <w:pPr>
        <w:spacing w:line="360" w:lineRule="auto"/>
        <w:rPr>
          <w:rStyle w:val="hljs-selector-tag"/>
          <w:rFonts w:ascii="Arial" w:hAnsi="Arial" w:cs="Arial"/>
          <w:b/>
          <w:bCs/>
        </w:rPr>
      </w:pPr>
      <w:r w:rsidRPr="007767A7">
        <w:rPr>
          <w:rStyle w:val="hljs-selector-tag"/>
          <w:rFonts w:ascii="Arial" w:hAnsi="Arial" w:cs="Arial"/>
          <w:b/>
          <w:bCs/>
        </w:rPr>
        <w:t>1</w:t>
      </w:r>
      <w:r w:rsidRPr="007767A7" w:rsidR="000F37B7">
        <w:rPr>
          <w:rStyle w:val="hljs-selector-tag"/>
          <w:rFonts w:ascii="Arial" w:hAnsi="Arial" w:cs="Arial"/>
          <w:b/>
          <w:bCs/>
        </w:rPr>
        <w:t>. Grundhaltung &amp; Public Health Ethik</w:t>
      </w:r>
    </w:p>
    <w:p w:rsidRPr="007767A7" w:rsidR="000F37B7" w:rsidP="620AECBD" w:rsidRDefault="000F37B7" w14:paraId="551F6AA7" w14:textId="4CB5D9AB">
      <w:pPr>
        <w:pStyle w:val="Listenabsatz"/>
        <w:numPr>
          <w:ilvl w:val="0"/>
          <w:numId w:val="2"/>
        </w:numPr>
        <w:spacing w:line="360" w:lineRule="auto"/>
        <w:jc w:val="both"/>
        <w:rPr>
          <w:rStyle w:val="hljs-selector-tag"/>
          <w:rFonts w:ascii="Arial" w:hAnsi="Arial" w:cs="Arial"/>
        </w:rPr>
      </w:pPr>
      <w:r w:rsidRPr="620AECBD" w:rsidR="000F37B7">
        <w:rPr>
          <w:rStyle w:val="hljs-selector-tag"/>
          <w:rFonts w:ascii="Arial" w:hAnsi="Arial" w:cs="Arial"/>
        </w:rPr>
        <w:t>Wissenschaftliche Integrität: Der Austausch basiert auf den Grundsätzen guter wissenschaftlicher Praxis, Evidenz und dem Gemeinwohl-Fokus von Public Health.</w:t>
      </w:r>
    </w:p>
    <w:p w:rsidRPr="007767A7" w:rsidR="000F37B7" w:rsidP="620AECBD" w:rsidRDefault="000F37B7" w14:paraId="32FDD32F" w14:textId="0E65EFFE">
      <w:pPr>
        <w:pStyle w:val="Listenabsatz"/>
        <w:numPr>
          <w:ilvl w:val="0"/>
          <w:numId w:val="2"/>
        </w:numPr>
        <w:spacing w:line="360" w:lineRule="auto"/>
        <w:jc w:val="both"/>
        <w:rPr>
          <w:rStyle w:val="hljs-selector-tag"/>
          <w:rFonts w:ascii="Arial" w:hAnsi="Arial" w:cs="Arial"/>
        </w:rPr>
      </w:pPr>
      <w:r w:rsidRPr="620AECBD" w:rsidR="000F37B7">
        <w:rPr>
          <w:rStyle w:val="hljs-selector-tag"/>
          <w:rFonts w:ascii="Arial" w:hAnsi="Arial" w:cs="Arial"/>
        </w:rPr>
        <w:t>Respekt &amp; Diversität: Wir schätzen die Vielfalt an interdisziplinären und kulturellen Hintergründen. Diskriminierung jeglicher Art wird nicht toleriert.</w:t>
      </w:r>
    </w:p>
    <w:p w:rsidRPr="007767A7" w:rsidR="000F37B7" w:rsidP="620AECBD" w:rsidRDefault="000F37B7" w14:paraId="416FF4E0" w14:textId="5A7C64C3">
      <w:pPr>
        <w:pStyle w:val="Listenabsatz"/>
        <w:numPr>
          <w:ilvl w:val="0"/>
          <w:numId w:val="2"/>
        </w:numPr>
        <w:spacing w:line="360" w:lineRule="auto"/>
        <w:jc w:val="both"/>
        <w:rPr>
          <w:rStyle w:val="hljs-selector-tag"/>
          <w:rFonts w:ascii="Arial" w:hAnsi="Arial" w:cs="Arial"/>
        </w:rPr>
      </w:pPr>
      <w:r w:rsidRPr="620AECBD" w:rsidR="000F37B7">
        <w:rPr>
          <w:rStyle w:val="hljs-selector-tag"/>
          <w:rFonts w:ascii="Arial" w:hAnsi="Arial" w:cs="Arial"/>
        </w:rPr>
        <w:t>Begegnung auf Augenhöhe: Mentor</w:t>
      </w:r>
      <w:r w:rsidRPr="620AECBD" w:rsidR="63656B09">
        <w:rPr>
          <w:rStyle w:val="hljs-selector-tag"/>
          <w:rFonts w:ascii="Arial" w:hAnsi="Arial" w:cs="Arial"/>
        </w:rPr>
        <w:t>I</w:t>
      </w:r>
      <w:r w:rsidRPr="620AECBD" w:rsidR="000F37B7">
        <w:rPr>
          <w:rStyle w:val="hljs-selector-tag"/>
          <w:rFonts w:ascii="Arial" w:hAnsi="Arial" w:cs="Arial"/>
        </w:rPr>
        <w:t xml:space="preserve">n und Mentee agieren als </w:t>
      </w:r>
      <w:r w:rsidRPr="620AECBD" w:rsidR="000F37B7">
        <w:rPr>
          <w:rStyle w:val="hljs-selector-tag"/>
          <w:rFonts w:ascii="Arial" w:hAnsi="Arial" w:cs="Arial"/>
        </w:rPr>
        <w:t>Kolleg</w:t>
      </w:r>
      <w:r w:rsidRPr="620AECBD" w:rsidR="71597BCE">
        <w:rPr>
          <w:rStyle w:val="hljs-selector-tag"/>
          <w:rFonts w:ascii="Arial" w:hAnsi="Arial" w:cs="Arial"/>
        </w:rPr>
        <w:t>I</w:t>
      </w:r>
      <w:r w:rsidRPr="620AECBD" w:rsidR="000F37B7">
        <w:rPr>
          <w:rStyle w:val="hljs-selector-tag"/>
          <w:rFonts w:ascii="Arial" w:hAnsi="Arial" w:cs="Arial"/>
        </w:rPr>
        <w:t>nnen</w:t>
      </w:r>
      <w:r w:rsidRPr="620AECBD" w:rsidR="000F37B7">
        <w:rPr>
          <w:rStyle w:val="hljs-selector-tag"/>
          <w:rFonts w:ascii="Arial" w:hAnsi="Arial" w:cs="Arial"/>
        </w:rPr>
        <w:t xml:space="preserve"> der Public Health Community mit gegenseitiger Wertschätzung.</w:t>
      </w:r>
    </w:p>
    <w:p w:rsidRPr="000F37B7" w:rsidR="000F37B7" w:rsidP="00A115A3" w:rsidRDefault="000F37B7" w14:paraId="7F121CC6" w14:textId="77777777">
      <w:pPr>
        <w:spacing w:line="360" w:lineRule="auto"/>
        <w:rPr>
          <w:rStyle w:val="hljs-selector-tag"/>
          <w:rFonts w:ascii="Arial" w:hAnsi="Arial" w:cs="Arial"/>
        </w:rPr>
      </w:pPr>
    </w:p>
    <w:p w:rsidRPr="007767A7" w:rsidR="000F37B7" w:rsidP="00A115A3" w:rsidRDefault="000F37B7" w14:paraId="74E6CB3E" w14:textId="77777777">
      <w:pPr>
        <w:spacing w:line="360" w:lineRule="auto"/>
        <w:rPr>
          <w:rStyle w:val="hljs-selector-tag"/>
          <w:rFonts w:ascii="Arial" w:hAnsi="Arial" w:cs="Arial"/>
          <w:b/>
          <w:bCs/>
        </w:rPr>
      </w:pPr>
      <w:r w:rsidRPr="007767A7">
        <w:rPr>
          <w:rStyle w:val="hljs-selector-tag"/>
          <w:rFonts w:ascii="Arial" w:hAnsi="Arial" w:cs="Arial"/>
          <w:b/>
          <w:bCs/>
        </w:rPr>
        <w:t>2. Vertraulichkeit (Safe Space)</w:t>
      </w:r>
    </w:p>
    <w:p w:rsidRPr="007767A7" w:rsidR="000F37B7" w:rsidP="620AECBD" w:rsidRDefault="000F37B7" w14:paraId="60B71452" w14:textId="77E85515">
      <w:pPr>
        <w:pStyle w:val="Listenabsatz"/>
        <w:numPr>
          <w:ilvl w:val="0"/>
          <w:numId w:val="3"/>
        </w:numPr>
        <w:spacing w:line="360" w:lineRule="auto"/>
        <w:jc w:val="both"/>
        <w:rPr>
          <w:rStyle w:val="hljs-selector-tag"/>
          <w:rFonts w:ascii="Arial" w:hAnsi="Arial" w:cs="Arial"/>
        </w:rPr>
      </w:pPr>
      <w:r w:rsidRPr="620AECBD" w:rsidR="000F37B7">
        <w:rPr>
          <w:rStyle w:val="hljs-selector-tag"/>
          <w:rFonts w:ascii="Arial" w:hAnsi="Arial" w:cs="Arial"/>
        </w:rPr>
        <w:t>Schweigepflicht: Alle Inhalte der Mentoring-Gespräche sind streng vertraulich. Informationen über berufliche Herausforderungen oder persönliche Ziele bleiben im geschützten Raum des Tandems.</w:t>
      </w:r>
    </w:p>
    <w:p w:rsidRPr="007767A7" w:rsidR="000F37B7" w:rsidP="620AECBD" w:rsidRDefault="000F37B7" w14:paraId="34827715" w14:textId="3BBD2FD8">
      <w:pPr>
        <w:pStyle w:val="Listenabsatz"/>
        <w:numPr>
          <w:ilvl w:val="0"/>
          <w:numId w:val="3"/>
        </w:numPr>
        <w:spacing w:line="360" w:lineRule="auto"/>
        <w:jc w:val="both"/>
        <w:rPr>
          <w:rStyle w:val="hljs-selector-tag"/>
          <w:rFonts w:ascii="Arial" w:hAnsi="Arial" w:cs="Arial"/>
        </w:rPr>
      </w:pPr>
      <w:r w:rsidRPr="620AECBD" w:rsidR="000F37B7">
        <w:rPr>
          <w:rStyle w:val="hljs-selector-tag"/>
          <w:rFonts w:ascii="Arial" w:hAnsi="Arial" w:cs="Arial"/>
        </w:rPr>
        <w:t>Konstruktives Feedback: Offenheit ist die Basis für Wachstum. Feedback soll stets ehrlich, aber wertschätzend und unterstützend formuliert werden.</w:t>
      </w:r>
    </w:p>
    <w:p w:rsidRPr="000F37B7" w:rsidR="000F37B7" w:rsidP="00A115A3" w:rsidRDefault="000F37B7" w14:paraId="0C1F3826" w14:textId="77777777">
      <w:pPr>
        <w:spacing w:line="360" w:lineRule="auto"/>
        <w:rPr>
          <w:rStyle w:val="hljs-selector-tag"/>
          <w:rFonts w:ascii="Arial" w:hAnsi="Arial" w:cs="Arial"/>
        </w:rPr>
      </w:pPr>
    </w:p>
    <w:p w:rsidRPr="007767A7" w:rsidR="000F37B7" w:rsidP="00A115A3" w:rsidRDefault="000F37B7" w14:paraId="24B9C347" w14:textId="77777777">
      <w:pPr>
        <w:spacing w:line="360" w:lineRule="auto"/>
        <w:rPr>
          <w:rStyle w:val="hljs-selector-tag"/>
          <w:rFonts w:ascii="Arial" w:hAnsi="Arial" w:cs="Arial"/>
          <w:b/>
          <w:bCs/>
        </w:rPr>
      </w:pPr>
      <w:r w:rsidRPr="007767A7">
        <w:rPr>
          <w:rStyle w:val="hljs-selector-tag"/>
          <w:rFonts w:ascii="Arial" w:hAnsi="Arial" w:cs="Arial"/>
          <w:b/>
          <w:bCs/>
        </w:rPr>
        <w:lastRenderedPageBreak/>
        <w:t>3. Rollen &amp; Verantwortung</w:t>
      </w:r>
    </w:p>
    <w:p w:rsidRPr="007767A7" w:rsidR="000F37B7" w:rsidP="620AECBD" w:rsidRDefault="000F37B7" w14:paraId="632169A8" w14:textId="564DCE23">
      <w:pPr>
        <w:pStyle w:val="Listenabsatz"/>
        <w:numPr>
          <w:ilvl w:val="0"/>
          <w:numId w:val="4"/>
        </w:numPr>
        <w:spacing w:line="360" w:lineRule="auto"/>
        <w:jc w:val="both"/>
        <w:rPr>
          <w:rStyle w:val="hljs-selector-tag"/>
          <w:rFonts w:ascii="Arial" w:hAnsi="Arial" w:cs="Arial"/>
        </w:rPr>
      </w:pPr>
      <w:r w:rsidRPr="620AECBD" w:rsidR="6E616D28">
        <w:rPr>
          <w:rStyle w:val="hljs-selector-tag"/>
          <w:rFonts w:ascii="Arial" w:hAnsi="Arial" w:cs="Arial"/>
        </w:rPr>
        <w:t xml:space="preserve">Eigenverantwortung Mentees: </w:t>
      </w:r>
      <w:r w:rsidRPr="620AECBD" w:rsidR="6E616D28">
        <w:rPr>
          <w:rStyle w:val="hljs-selector-tag"/>
          <w:rFonts w:ascii="Arial" w:hAnsi="Arial" w:cs="Arial"/>
        </w:rPr>
        <w:t>D</w:t>
      </w:r>
      <w:r w:rsidRPr="620AECBD" w:rsidR="6E616D28">
        <w:rPr>
          <w:rStyle w:val="hljs-selector-tag"/>
          <w:rFonts w:ascii="Arial" w:hAnsi="Arial" w:cs="Arial"/>
        </w:rPr>
        <w:t xml:space="preserve">ie </w:t>
      </w:r>
      <w:r w:rsidRPr="620AECBD" w:rsidR="6E616D28">
        <w:rPr>
          <w:rStyle w:val="hljs-selector-tag"/>
          <w:rFonts w:ascii="Arial" w:hAnsi="Arial" w:cs="Arial"/>
        </w:rPr>
        <w:t>Mentee</w:t>
      </w:r>
      <w:r w:rsidRPr="620AECBD" w:rsidR="6E616D28">
        <w:rPr>
          <w:rStyle w:val="hljs-selector-tag"/>
          <w:rFonts w:ascii="Arial" w:hAnsi="Arial" w:cs="Arial"/>
        </w:rPr>
        <w:t>s sind</w:t>
      </w:r>
      <w:r w:rsidRPr="620AECBD" w:rsidR="6E616D28">
        <w:rPr>
          <w:rStyle w:val="hljs-selector-tag"/>
          <w:rFonts w:ascii="Arial" w:hAnsi="Arial" w:cs="Arial"/>
        </w:rPr>
        <w:t xml:space="preserve"> die treibende Kraft des Prozesses. Sie/Er </w:t>
      </w:r>
      <w:r w:rsidRPr="620AECBD" w:rsidR="6E616D28">
        <w:rPr>
          <w:rStyle w:val="hljs-selector-tag"/>
          <w:rFonts w:ascii="Arial" w:hAnsi="Arial" w:cs="Arial"/>
        </w:rPr>
        <w:t>bereitet</w:t>
      </w:r>
      <w:r w:rsidRPr="620AECBD" w:rsidR="6E616D28">
        <w:rPr>
          <w:rStyle w:val="hljs-selector-tag"/>
          <w:rFonts w:ascii="Arial" w:hAnsi="Arial" w:cs="Arial"/>
        </w:rPr>
        <w:t xml:space="preserve"> Treffen vor, definiert Ziele und reflektiert den Fortschritt aktiv.</w:t>
      </w:r>
    </w:p>
    <w:p w:rsidRPr="007767A7" w:rsidR="000F37B7" w:rsidP="620AECBD" w:rsidRDefault="000F37B7" w14:paraId="76631BFF" w14:textId="0633B081">
      <w:pPr>
        <w:pStyle w:val="Listenabsatz"/>
        <w:numPr>
          <w:ilvl w:val="0"/>
          <w:numId w:val="4"/>
        </w:numPr>
        <w:spacing w:line="360" w:lineRule="auto"/>
        <w:jc w:val="both"/>
        <w:rPr>
          <w:rStyle w:val="hljs-selector-tag"/>
          <w:rFonts w:ascii="Arial" w:hAnsi="Arial" w:cs="Arial"/>
        </w:rPr>
      </w:pPr>
      <w:r w:rsidRPr="620AECBD" w:rsidR="000F37B7">
        <w:rPr>
          <w:rStyle w:val="hljs-selector-tag"/>
          <w:rFonts w:ascii="Arial" w:hAnsi="Arial" w:cs="Arial"/>
        </w:rPr>
        <w:t xml:space="preserve">Rolle der </w:t>
      </w:r>
      <w:r w:rsidRPr="620AECBD" w:rsidR="000F37B7">
        <w:rPr>
          <w:rStyle w:val="hljs-selector-tag"/>
          <w:rFonts w:ascii="Arial" w:hAnsi="Arial" w:cs="Arial"/>
        </w:rPr>
        <w:t>Mentor</w:t>
      </w:r>
      <w:r w:rsidRPr="620AECBD" w:rsidR="1D37EA33">
        <w:rPr>
          <w:rStyle w:val="hljs-selector-tag"/>
          <w:rFonts w:ascii="Arial" w:hAnsi="Arial" w:cs="Arial"/>
        </w:rPr>
        <w:t>I</w:t>
      </w:r>
      <w:r w:rsidRPr="620AECBD" w:rsidR="000F37B7">
        <w:rPr>
          <w:rStyle w:val="hljs-selector-tag"/>
          <w:rFonts w:ascii="Arial" w:hAnsi="Arial" w:cs="Arial"/>
        </w:rPr>
        <w:t>nnen</w:t>
      </w:r>
      <w:r w:rsidRPr="620AECBD" w:rsidR="000F37B7">
        <w:rPr>
          <w:rStyle w:val="hljs-selector-tag"/>
          <w:rFonts w:ascii="Arial" w:hAnsi="Arial" w:cs="Arial"/>
        </w:rPr>
        <w:t xml:space="preserve">: </w:t>
      </w:r>
      <w:r w:rsidRPr="620AECBD" w:rsidR="000F37B7">
        <w:rPr>
          <w:rStyle w:val="hljs-selector-tag"/>
          <w:rFonts w:ascii="Arial" w:hAnsi="Arial" w:cs="Arial"/>
        </w:rPr>
        <w:t>Mentor</w:t>
      </w:r>
      <w:r w:rsidRPr="620AECBD" w:rsidR="4453B66A">
        <w:rPr>
          <w:rStyle w:val="hljs-selector-tag"/>
          <w:rFonts w:ascii="Arial" w:hAnsi="Arial" w:cs="Arial"/>
        </w:rPr>
        <w:t>I</w:t>
      </w:r>
      <w:r w:rsidRPr="620AECBD" w:rsidR="000F37B7">
        <w:rPr>
          <w:rStyle w:val="hljs-selector-tag"/>
          <w:rFonts w:ascii="Arial" w:hAnsi="Arial" w:cs="Arial"/>
        </w:rPr>
        <w:t>nnen</w:t>
      </w:r>
      <w:r w:rsidRPr="620AECBD" w:rsidR="000F37B7">
        <w:rPr>
          <w:rStyle w:val="hljs-selector-tag"/>
          <w:rFonts w:ascii="Arial" w:hAnsi="Arial" w:cs="Arial"/>
        </w:rPr>
        <w:t xml:space="preserve"> bieten Orientierungshilfe und teilen Erfahrungswissen. Sie agieren als </w:t>
      </w:r>
      <w:r w:rsidRPr="620AECBD" w:rsidR="000F37B7">
        <w:rPr>
          <w:rStyle w:val="hljs-selector-tag"/>
          <w:rFonts w:ascii="Arial" w:hAnsi="Arial" w:cs="Arial"/>
        </w:rPr>
        <w:t>Impulsgeber</w:t>
      </w:r>
      <w:r w:rsidRPr="620AECBD" w:rsidR="77A7054D">
        <w:rPr>
          <w:rStyle w:val="hljs-selector-tag"/>
          <w:rFonts w:ascii="Arial" w:hAnsi="Arial" w:cs="Arial"/>
        </w:rPr>
        <w:t>I</w:t>
      </w:r>
      <w:r w:rsidRPr="620AECBD" w:rsidR="000F37B7">
        <w:rPr>
          <w:rStyle w:val="hljs-selector-tag"/>
          <w:rFonts w:ascii="Arial" w:hAnsi="Arial" w:cs="Arial"/>
        </w:rPr>
        <w:t>nnen</w:t>
      </w:r>
      <w:r w:rsidRPr="620AECBD" w:rsidR="000F37B7">
        <w:rPr>
          <w:rStyle w:val="hljs-selector-tag"/>
          <w:rFonts w:ascii="Arial" w:hAnsi="Arial" w:cs="Arial"/>
        </w:rPr>
        <w:t xml:space="preserve">, treffen jedoch keine finalen Entscheidungen für </w:t>
      </w:r>
      <w:r w:rsidRPr="620AECBD" w:rsidR="2B2D2B3B">
        <w:rPr>
          <w:rStyle w:val="hljs-selector-tag"/>
          <w:rFonts w:ascii="Arial" w:hAnsi="Arial" w:cs="Arial"/>
        </w:rPr>
        <w:t>die</w:t>
      </w:r>
      <w:r w:rsidRPr="620AECBD" w:rsidR="000F37B7">
        <w:rPr>
          <w:rStyle w:val="hljs-selector-tag"/>
          <w:rFonts w:ascii="Arial" w:hAnsi="Arial" w:cs="Arial"/>
        </w:rPr>
        <w:t xml:space="preserve"> Mentee</w:t>
      </w:r>
      <w:r w:rsidRPr="620AECBD" w:rsidR="7E77A1BD">
        <w:rPr>
          <w:rStyle w:val="hljs-selector-tag"/>
          <w:rFonts w:ascii="Arial" w:hAnsi="Arial" w:cs="Arial"/>
        </w:rPr>
        <w:t>s</w:t>
      </w:r>
      <w:r w:rsidRPr="620AECBD" w:rsidR="000F37B7">
        <w:rPr>
          <w:rStyle w:val="hljs-selector-tag"/>
          <w:rFonts w:ascii="Arial" w:hAnsi="Arial" w:cs="Arial"/>
        </w:rPr>
        <w:t>.</w:t>
      </w:r>
    </w:p>
    <w:p w:rsidRPr="007767A7" w:rsidR="000F37B7" w:rsidP="620AECBD" w:rsidRDefault="000F37B7" w14:paraId="58A510A2" w14:textId="57C4D803">
      <w:pPr>
        <w:pStyle w:val="Listenabsatz"/>
        <w:numPr>
          <w:ilvl w:val="0"/>
          <w:numId w:val="4"/>
        </w:numPr>
        <w:spacing w:line="360" w:lineRule="auto"/>
        <w:jc w:val="both"/>
        <w:rPr>
          <w:rStyle w:val="hljs-selector-tag"/>
          <w:rFonts w:ascii="Arial" w:hAnsi="Arial" w:cs="Arial"/>
        </w:rPr>
      </w:pPr>
      <w:r w:rsidRPr="620AECBD" w:rsidR="6E616D28">
        <w:rPr>
          <w:rStyle w:val="hljs-selector-tag"/>
          <w:rFonts w:ascii="Arial" w:hAnsi="Arial" w:cs="Arial"/>
        </w:rPr>
        <w:t>Unabhängigkeit: Das Mentoring ist kein direktes Vorgesetztenverhältnis. Es besteht kein Anspruch auf Anstellung oder finanzielle Förderung.</w:t>
      </w:r>
    </w:p>
    <w:p w:rsidR="6E616D28" w:rsidP="620AECBD" w:rsidRDefault="6E616D28" w14:paraId="237A243B" w14:textId="3214248C">
      <w:pPr>
        <w:pStyle w:val="Listenabsatz"/>
        <w:numPr>
          <w:ilvl w:val="0"/>
          <w:numId w:val="4"/>
        </w:numPr>
        <w:spacing w:line="360" w:lineRule="auto"/>
        <w:jc w:val="both"/>
        <w:rPr>
          <w:rStyle w:val="hljs-selector-tag"/>
          <w:rFonts w:ascii="Arial" w:hAnsi="Arial" w:cs="Arial"/>
        </w:rPr>
      </w:pPr>
      <w:r w:rsidRPr="620AECBD" w:rsidR="6E616D28">
        <w:rPr>
          <w:rStyle w:val="hljs-selector-tag"/>
          <w:rFonts w:ascii="Arial" w:hAnsi="Arial" w:cs="Arial"/>
        </w:rPr>
        <w:t xml:space="preserve">Freiwilligkeit: Die </w:t>
      </w:r>
      <w:r w:rsidRPr="620AECBD" w:rsidR="6E616D28">
        <w:rPr>
          <w:rStyle w:val="hljs-selector-tag"/>
          <w:rFonts w:ascii="Arial" w:hAnsi="Arial" w:cs="Arial"/>
        </w:rPr>
        <w:t>Mentor</w:t>
      </w:r>
      <w:r w:rsidRPr="620AECBD" w:rsidR="7EBDFD4D">
        <w:rPr>
          <w:rStyle w:val="hljs-selector-tag"/>
          <w:rFonts w:ascii="Arial" w:hAnsi="Arial" w:cs="Arial"/>
        </w:rPr>
        <w:t>I</w:t>
      </w:r>
      <w:r w:rsidRPr="620AECBD" w:rsidR="6E616D28">
        <w:rPr>
          <w:rStyle w:val="hljs-selector-tag"/>
          <w:rFonts w:ascii="Arial" w:hAnsi="Arial" w:cs="Arial"/>
        </w:rPr>
        <w:t>nnen</w:t>
      </w:r>
      <w:r w:rsidRPr="620AECBD" w:rsidR="6E616D28">
        <w:rPr>
          <w:rStyle w:val="hljs-selector-tag"/>
          <w:rFonts w:ascii="Arial" w:hAnsi="Arial" w:cs="Arial"/>
        </w:rPr>
        <w:t xml:space="preserve"> üben ihre Tätigkeit freiwillig aus und erhalten keinerlei finanzielle Entlohnung für diese Tätigkeit</w:t>
      </w:r>
    </w:p>
    <w:p w:rsidRPr="000F37B7" w:rsidR="000F37B7" w:rsidP="620AECBD" w:rsidRDefault="000F37B7" w14:paraId="4F7BF629" w14:textId="77777777">
      <w:pPr>
        <w:spacing w:line="360" w:lineRule="auto"/>
        <w:jc w:val="both"/>
        <w:rPr>
          <w:rStyle w:val="hljs-selector-tag"/>
          <w:rFonts w:ascii="Arial" w:hAnsi="Arial" w:cs="Arial"/>
        </w:rPr>
      </w:pPr>
    </w:p>
    <w:p w:rsidRPr="007767A7" w:rsidR="000F37B7" w:rsidP="00A115A3" w:rsidRDefault="000F37B7" w14:paraId="619F5E88" w14:textId="77777777">
      <w:pPr>
        <w:spacing w:line="360" w:lineRule="auto"/>
        <w:rPr>
          <w:rStyle w:val="hljs-selector-tag"/>
          <w:rFonts w:ascii="Arial" w:hAnsi="Arial" w:cs="Arial"/>
          <w:b/>
          <w:bCs/>
        </w:rPr>
      </w:pPr>
      <w:r w:rsidRPr="007767A7">
        <w:rPr>
          <w:rStyle w:val="hljs-selector-tag"/>
          <w:rFonts w:ascii="Arial" w:hAnsi="Arial" w:cs="Arial"/>
          <w:b/>
          <w:bCs/>
        </w:rPr>
        <w:t>4. Professionalität &amp; Verbindlichkeit</w:t>
      </w:r>
    </w:p>
    <w:p w:rsidRPr="007767A7" w:rsidR="000F37B7" w:rsidP="620AECBD" w:rsidRDefault="000F37B7" w14:paraId="564915DC" w14:textId="04910928">
      <w:pPr>
        <w:pStyle w:val="Listenabsatz"/>
        <w:numPr>
          <w:ilvl w:val="0"/>
          <w:numId w:val="5"/>
        </w:numPr>
        <w:spacing w:line="360" w:lineRule="auto"/>
        <w:jc w:val="both"/>
        <w:rPr>
          <w:rStyle w:val="hljs-selector-tag"/>
          <w:rFonts w:ascii="Arial" w:hAnsi="Arial" w:cs="Arial"/>
        </w:rPr>
      </w:pPr>
      <w:r w:rsidRPr="620AECBD" w:rsidR="000F37B7">
        <w:rPr>
          <w:rStyle w:val="hljs-selector-tag"/>
          <w:rFonts w:ascii="Arial" w:hAnsi="Arial" w:cs="Arial"/>
        </w:rPr>
        <w:t>Zuverlässigkeit: Vereinbarte Termine werden eingehalten. Absagen oder Änderungen erfolgen frühzeitig und respektvoll.</w:t>
      </w:r>
    </w:p>
    <w:p w:rsidRPr="007767A7" w:rsidR="000F37B7" w:rsidP="620AECBD" w:rsidRDefault="000F37B7" w14:paraId="2652D90A" w14:textId="7FF5B6EE">
      <w:pPr>
        <w:pStyle w:val="Listenabsatz"/>
        <w:numPr>
          <w:ilvl w:val="0"/>
          <w:numId w:val="5"/>
        </w:numPr>
        <w:spacing w:line="360" w:lineRule="auto"/>
        <w:jc w:val="both"/>
        <w:rPr>
          <w:rStyle w:val="hljs-selector-tag"/>
          <w:rFonts w:ascii="Arial" w:hAnsi="Arial" w:cs="Arial"/>
        </w:rPr>
      </w:pPr>
      <w:r w:rsidRPr="620AECBD" w:rsidR="6E616D28">
        <w:rPr>
          <w:rStyle w:val="hljs-selector-tag"/>
          <w:rFonts w:ascii="Arial" w:hAnsi="Arial" w:cs="Arial"/>
        </w:rPr>
        <w:t>Fachlicher Fokus: Mentoring ersetzt keine psychologische Beratung oder Therapie. Bei Themen außerhalb des beruflich-akademischen Rahmens wird auf externe Fachstellen verwiesen.</w:t>
      </w:r>
    </w:p>
    <w:p w:rsidRPr="007767A7" w:rsidR="000F37B7" w:rsidP="620AECBD" w:rsidRDefault="000F37B7" w14:paraId="3759DA50" w14:textId="5428CD62">
      <w:pPr>
        <w:pStyle w:val="Listenabsatz"/>
        <w:numPr>
          <w:ilvl w:val="0"/>
          <w:numId w:val="5"/>
        </w:numPr>
        <w:spacing w:line="360" w:lineRule="auto"/>
        <w:jc w:val="both"/>
        <w:rPr>
          <w:rStyle w:val="hljs-selector-tag"/>
          <w:rFonts w:ascii="Arial" w:hAnsi="Arial" w:cs="Arial"/>
        </w:rPr>
      </w:pPr>
      <w:r w:rsidRPr="620AECBD" w:rsidR="000F37B7">
        <w:rPr>
          <w:rStyle w:val="hljs-selector-tag"/>
          <w:rFonts w:ascii="Arial" w:hAnsi="Arial" w:cs="Arial"/>
        </w:rPr>
        <w:t>Konfliktmanagement: Bei unüberbrückbaren Differenzen dient die Koordination der Young ÖGPH als neutrale Anlaufstelle für eine Mediation.</w:t>
      </w:r>
    </w:p>
    <w:p w:rsidR="00A36008" w:rsidP="00A115A3" w:rsidRDefault="00A36008" w14:paraId="04117179" w14:textId="77777777">
      <w:pPr>
        <w:spacing w:line="360" w:lineRule="auto"/>
        <w:rPr>
          <w:rStyle w:val="hljs-selector-tag"/>
          <w:rFonts w:ascii="Arial" w:hAnsi="Arial" w:cs="Arial"/>
        </w:rPr>
      </w:pPr>
    </w:p>
    <w:p w:rsidRPr="00A36008" w:rsidR="00A36008" w:rsidP="00A36008" w:rsidRDefault="00A36008" w14:paraId="53882BFE" w14:textId="324BB74C">
      <w:pPr>
        <w:spacing w:line="360" w:lineRule="auto"/>
        <w:rPr>
          <w:rStyle w:val="hljs-selector-tag"/>
          <w:rFonts w:ascii="Arial" w:hAnsi="Arial" w:cs="Arial"/>
          <w:b/>
          <w:bCs/>
        </w:rPr>
      </w:pPr>
      <w:r>
        <w:rPr>
          <w:rStyle w:val="hljs-selector-tag"/>
          <w:rFonts w:ascii="Arial" w:hAnsi="Arial" w:cs="Arial"/>
          <w:b/>
          <w:bCs/>
        </w:rPr>
        <w:t xml:space="preserve">5. </w:t>
      </w:r>
      <w:r w:rsidRPr="00A36008">
        <w:rPr>
          <w:rStyle w:val="hljs-selector-tag"/>
          <w:rFonts w:ascii="Arial" w:hAnsi="Arial" w:cs="Arial"/>
          <w:b/>
          <w:bCs/>
        </w:rPr>
        <w:t>Konfliktlösung &amp; Ombudsperson</w:t>
      </w:r>
    </w:p>
    <w:p w:rsidRPr="00A36008" w:rsidR="00A36008" w:rsidP="620AECBD" w:rsidRDefault="00A36008" w14:paraId="40D1EE3B" w14:textId="3C818133">
      <w:pPr>
        <w:spacing w:line="360" w:lineRule="auto"/>
        <w:jc w:val="both"/>
        <w:rPr>
          <w:rStyle w:val="hljs-selector-tag"/>
          <w:rFonts w:ascii="Arial" w:hAnsi="Arial" w:cs="Arial"/>
        </w:rPr>
      </w:pPr>
      <w:r w:rsidRPr="620AECBD" w:rsidR="00A36008">
        <w:rPr>
          <w:rStyle w:val="hljs-selector-tag"/>
          <w:rFonts w:ascii="Arial" w:hAnsi="Arial" w:cs="Arial"/>
        </w:rPr>
        <w:t xml:space="preserve">Der Code </w:t>
      </w:r>
      <w:r w:rsidRPr="620AECBD" w:rsidR="00A36008">
        <w:rPr>
          <w:rStyle w:val="hljs-selector-tag"/>
          <w:rFonts w:ascii="Arial" w:hAnsi="Arial" w:cs="Arial"/>
        </w:rPr>
        <w:t>of</w:t>
      </w:r>
      <w:r w:rsidRPr="620AECBD" w:rsidR="00A36008">
        <w:rPr>
          <w:rStyle w:val="hljs-selector-tag"/>
          <w:rFonts w:ascii="Arial" w:hAnsi="Arial" w:cs="Arial"/>
        </w:rPr>
        <w:t xml:space="preserve"> Conduct dient als verbindlicher Orientierungsrahmen. Konflikte sollen nach Möglichkeit zuerst direkt zwischen </w:t>
      </w:r>
      <w:r w:rsidRPr="620AECBD" w:rsidR="00A36008">
        <w:rPr>
          <w:rStyle w:val="hljs-selector-tag"/>
          <w:rFonts w:ascii="Arial" w:hAnsi="Arial" w:cs="Arial"/>
        </w:rPr>
        <w:t>Mentor</w:t>
      </w:r>
      <w:r w:rsidRPr="620AECBD" w:rsidR="69D6BC8E">
        <w:rPr>
          <w:rStyle w:val="hljs-selector-tag"/>
          <w:rFonts w:ascii="Arial" w:hAnsi="Arial" w:cs="Arial"/>
        </w:rPr>
        <w:t>I</w:t>
      </w:r>
      <w:r w:rsidRPr="620AECBD" w:rsidR="00A36008">
        <w:rPr>
          <w:rStyle w:val="hljs-selector-tag"/>
          <w:rFonts w:ascii="Arial" w:hAnsi="Arial" w:cs="Arial"/>
        </w:rPr>
        <w:t>n</w:t>
      </w:r>
      <w:r w:rsidRPr="620AECBD" w:rsidR="00A36008">
        <w:rPr>
          <w:rStyle w:val="hljs-selector-tag"/>
          <w:rFonts w:ascii="Arial" w:hAnsi="Arial" w:cs="Arial"/>
        </w:rPr>
        <w:t xml:space="preserve"> und Mentee besprochen werden (Subsidiaritätsprinzip).</w:t>
      </w:r>
    </w:p>
    <w:p w:rsidRPr="000F37B7" w:rsidR="00A36008" w:rsidP="620AECBD" w:rsidRDefault="00A36008" w14:paraId="0D36C0AF" w14:textId="3E956A12">
      <w:pPr>
        <w:spacing w:line="360" w:lineRule="auto"/>
        <w:jc w:val="both"/>
        <w:rPr>
          <w:rStyle w:val="hljs-selector-tag"/>
          <w:rFonts w:ascii="Arial" w:hAnsi="Arial" w:cs="Arial"/>
        </w:rPr>
      </w:pPr>
      <w:r w:rsidRPr="620AECBD" w:rsidR="6E616D28">
        <w:rPr>
          <w:rStyle w:val="hljs-selector-tag"/>
          <w:rFonts w:ascii="Arial" w:hAnsi="Arial" w:cs="Arial"/>
        </w:rPr>
        <w:t>Sollte eine interne Klärung nicht möglich sein, steht die Ombudsstelle, die Young ÖGPH (</w:t>
      </w:r>
      <w:hyperlink r:id="R84cb67216402432f">
        <w:r w:rsidRPr="620AECBD" w:rsidR="6E616D28">
          <w:rPr>
            <w:rStyle w:val="Hyperlink"/>
            <w:rFonts w:ascii="Arial" w:hAnsi="Arial" w:eastAsia="Arial" w:cs="Arial"/>
            <w:noProof w:val="0"/>
            <w:sz w:val="22"/>
            <w:szCs w:val="22"/>
            <w:lang w:val="de-DE"/>
          </w:rPr>
          <w:t>young@oeph.at</w:t>
        </w:r>
      </w:hyperlink>
      <w:r w:rsidRPr="620AECBD" w:rsidR="6E616D28">
        <w:rPr>
          <w:rFonts w:ascii="Arial" w:hAnsi="Arial" w:eastAsia="Arial" w:cs="Arial"/>
          <w:noProof w:val="0"/>
          <w:sz w:val="22"/>
          <w:szCs w:val="22"/>
          <w:lang w:val="de-DE"/>
        </w:rPr>
        <w:t xml:space="preserve">), </w:t>
      </w:r>
      <w:r w:rsidRPr="620AECBD" w:rsidR="6E616D28">
        <w:rPr>
          <w:rStyle w:val="hljs-selector-tag"/>
          <w:rFonts w:ascii="Arial" w:hAnsi="Arial" w:cs="Arial"/>
        </w:rPr>
        <w:t xml:space="preserve">als unabhängige Partei für eine vertrauliche und neutrale Beratung zur Verfügung. Diese unterstützt außerhalb der Programmleitung bei der Lösungsfindung. Die Beauftragte Ombudsperson der Young ÖGPH wird sich mit dem Konflikt auseinandersetzten. </w:t>
      </w:r>
    </w:p>
    <w:p w:rsidRPr="000F37B7" w:rsidR="000F37B7" w:rsidP="00A115A3" w:rsidRDefault="000F37B7" w14:paraId="11170E24" w14:textId="77777777">
      <w:pPr>
        <w:spacing w:line="360" w:lineRule="auto"/>
        <w:rPr>
          <w:rStyle w:val="hljs-selector-tag"/>
          <w:rFonts w:ascii="Arial" w:hAnsi="Arial" w:cs="Arial"/>
        </w:rPr>
      </w:pPr>
    </w:p>
    <w:p w:rsidRPr="000F37B7" w:rsidR="000F37B7" w:rsidP="00A115A3" w:rsidRDefault="000F37B7" w14:paraId="3C863140" w14:textId="1D0AE292">
      <w:pPr>
        <w:spacing w:line="360" w:lineRule="auto"/>
        <w:rPr>
          <w:rStyle w:val="hljs-selector-tag"/>
          <w:rFonts w:ascii="Arial" w:hAnsi="Arial" w:cs="Arial"/>
        </w:rPr>
      </w:pPr>
      <w:r w:rsidRPr="000F37B7">
        <w:rPr>
          <w:rStyle w:val="hljs-selector-tag"/>
          <w:rFonts w:ascii="Arial" w:hAnsi="Arial" w:cs="Arial"/>
        </w:rPr>
        <w:t xml:space="preserve">Stand: </w:t>
      </w:r>
      <w:r w:rsidR="00A115A3">
        <w:rPr>
          <w:rStyle w:val="hljs-selector-tag"/>
          <w:rFonts w:ascii="Arial" w:hAnsi="Arial" w:cs="Arial"/>
        </w:rPr>
        <w:t>März 2026</w:t>
      </w:r>
    </w:p>
    <w:p w:rsidRPr="00163ADD" w:rsidR="000F37B7" w:rsidP="00A115A3" w:rsidRDefault="000F37B7" w14:paraId="459225DC" w14:textId="4BA17AB6">
      <w:pPr>
        <w:spacing w:line="360" w:lineRule="auto"/>
        <w:rPr>
          <w:rStyle w:val="hljs-selector-tag"/>
          <w:rFonts w:ascii="Arial" w:hAnsi="Arial" w:cs="Arial"/>
        </w:rPr>
      </w:pPr>
      <w:r w:rsidRPr="000F37B7">
        <w:rPr>
          <w:rStyle w:val="hljs-selector-tag"/>
          <w:rFonts w:ascii="Arial" w:hAnsi="Arial" w:cs="Arial"/>
        </w:rPr>
        <w:t>Vorstand der ÖGPH &amp; Koordination Young ÖGPH</w:t>
      </w:r>
    </w:p>
    <w:p w:rsidRPr="00163ADD" w:rsidR="003D3759" w:rsidP="00A115A3" w:rsidRDefault="003D3759" w14:paraId="28E30282" w14:textId="4FE21DFC">
      <w:pPr>
        <w:spacing w:line="360" w:lineRule="auto"/>
        <w:rPr>
          <w:rStyle w:val="hljs-selector-tag"/>
          <w:rFonts w:ascii="Arial" w:hAnsi="Arial" w:cs="Arial"/>
        </w:rPr>
      </w:pPr>
    </w:p>
    <w:sectPr w:rsidRPr="00163ADD" w:rsidR="003D3759" w:rsidSect="00580FFA">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286" w:bottom="1134" w:left="1417" w:header="708" w:footer="705"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CE5" w:rsidP="00B82D1B" w:rsidRDefault="00646CE5" w14:paraId="42F4E90C" w14:textId="77777777">
      <w:pPr>
        <w:spacing w:after="0" w:line="240" w:lineRule="auto"/>
      </w:pPr>
      <w:r>
        <w:separator/>
      </w:r>
    </w:p>
  </w:endnote>
  <w:endnote w:type="continuationSeparator" w:id="0">
    <w:p w:rsidR="00646CE5" w:rsidP="00B82D1B" w:rsidRDefault="00646CE5" w14:paraId="53DF46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FA" w:rsidRDefault="00580FFA" w14:paraId="159747C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1ACE" w:rsidR="00B82D1B" w:rsidP="00CB4A01" w:rsidRDefault="00B82D1B" w14:paraId="4C5FC930" w14:textId="77777777">
    <w:pPr>
      <w:ind w:left="-284" w:right="1"/>
      <w:jc w:val="both"/>
      <w:rPr>
        <w:sz w:val="20"/>
      </w:rPr>
    </w:pPr>
    <w:r w:rsidRPr="00101ACE">
      <w:rPr>
        <w:color w:val="808080" w:themeColor="background1" w:themeShade="80"/>
        <w:sz w:val="20"/>
      </w:rPr>
      <w:t>Österreichische Gesellschaft für Public Health (ÖGPH)</w:t>
    </w:r>
    <w:r w:rsidRPr="00101ACE" w:rsidR="00CB4A01">
      <w:rPr>
        <w:color w:val="808080" w:themeColor="background1" w:themeShade="80"/>
        <w:sz w:val="20"/>
      </w:rPr>
      <w:t xml:space="preserve"> </w:t>
    </w:r>
    <w:r w:rsidRPr="00101ACE" w:rsidR="00FF7ACB">
      <w:rPr>
        <w:color w:val="808080" w:themeColor="background1" w:themeShade="80"/>
        <w:sz w:val="20"/>
      </w:rPr>
      <w:t>|</w:t>
    </w:r>
    <w:r w:rsidRPr="00101ACE" w:rsidR="00CB4A01">
      <w:rPr>
        <w:color w:val="808080" w:themeColor="background1" w:themeShade="80"/>
        <w:sz w:val="20"/>
      </w:rPr>
      <w:t xml:space="preserve"> </w:t>
    </w:r>
    <w:r w:rsidRPr="00101ACE">
      <w:rPr>
        <w:color w:val="808080" w:themeColor="background1" w:themeShade="80"/>
        <w:sz w:val="20"/>
      </w:rPr>
      <w:t>c/o Wiener Medizinische Akademie für Ärztliche Fortbildung und Forschung (WMA)</w:t>
    </w:r>
    <w:r w:rsidRPr="00101ACE" w:rsidR="00FF7ACB">
      <w:rPr>
        <w:color w:val="808080" w:themeColor="background1" w:themeShade="80"/>
        <w:sz w:val="20"/>
      </w:rPr>
      <w:t xml:space="preserve">, </w:t>
    </w:r>
    <w:r w:rsidRPr="00101ACE">
      <w:rPr>
        <w:color w:val="808080" w:themeColor="background1" w:themeShade="80"/>
        <w:sz w:val="20"/>
      </w:rPr>
      <w:t>Alser Straße 4, 1090 Wien</w:t>
    </w:r>
    <w:r w:rsidRPr="00101ACE" w:rsidR="00FF7ACB">
      <w:rPr>
        <w:color w:val="808080" w:themeColor="background1" w:themeShade="80"/>
        <w:sz w:val="20"/>
      </w:rPr>
      <w:t xml:space="preserve"> |</w:t>
    </w:r>
    <w:r w:rsidR="00580FFA">
      <w:rPr>
        <w:color w:val="808080" w:themeColor="background1" w:themeShade="80"/>
        <w:sz w:val="20"/>
      </w:rPr>
      <w:t xml:space="preserve"> </w:t>
    </w:r>
    <w:r w:rsidRPr="00580FFA" w:rsidR="00580FFA">
      <w:rPr>
        <w:color w:val="808080" w:themeColor="background1" w:themeShade="80"/>
        <w:sz w:val="20"/>
      </w:rPr>
      <w:t>ZVR: 996585103</w:t>
    </w:r>
    <w:r w:rsidR="00580FFA">
      <w:rPr>
        <w:color w:val="808080" w:themeColor="background1" w:themeShade="80"/>
        <w:sz w:val="20"/>
      </w:rPr>
      <w:t xml:space="preserve"> </w:t>
    </w:r>
    <w:r w:rsidRPr="00101ACE" w:rsidR="00580FFA">
      <w:rPr>
        <w:color w:val="808080" w:themeColor="background1" w:themeShade="80"/>
        <w:sz w:val="20"/>
      </w:rPr>
      <w:t>|</w:t>
    </w:r>
    <w:r w:rsidR="00580FFA">
      <w:rPr>
        <w:color w:val="808080" w:themeColor="background1" w:themeShade="80"/>
        <w:sz w:val="20"/>
      </w:rPr>
      <w:t xml:space="preserve"> </w:t>
    </w:r>
    <w:r w:rsidRPr="00101ACE">
      <w:rPr>
        <w:color w:val="808080" w:themeColor="background1" w:themeShade="80"/>
        <w:sz w:val="20"/>
      </w:rPr>
      <w:t>E-Mail: office@oeph.at</w:t>
    </w:r>
    <w:r w:rsidRPr="00101ACE" w:rsidR="00CB4A01">
      <w:rPr>
        <w:color w:val="808080" w:themeColor="background1" w:themeShade="80"/>
        <w:sz w:val="20"/>
      </w:rPr>
      <w:t xml:space="preserve"> </w:t>
    </w:r>
    <w:r w:rsidRPr="00101ACE" w:rsidR="00FF7ACB">
      <w:rPr>
        <w:color w:val="808080" w:themeColor="background1" w:themeShade="80"/>
        <w:sz w:val="20"/>
      </w:rPr>
      <w:t>|</w:t>
    </w:r>
    <w:r w:rsidRPr="00101ACE" w:rsidR="009B7E2D">
      <w:rPr>
        <w:color w:val="808080" w:themeColor="background1" w:themeShade="80"/>
        <w:sz w:val="20"/>
      </w:rPr>
      <w:t xml:space="preserve"> </w:t>
    </w:r>
    <w:r w:rsidRPr="00101ACE">
      <w:rPr>
        <w:color w:val="808080" w:themeColor="background1" w:themeShade="80"/>
        <w:sz w:val="20"/>
      </w:rPr>
      <w:t>Tel.:  +43 1 405138334</w:t>
    </w:r>
    <w:r w:rsidRPr="00101ACE" w:rsidR="00FF7ACB">
      <w:rPr>
        <w:color w:val="808080" w:themeColor="background1" w:themeShade="8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FA" w:rsidRDefault="00580FFA" w14:paraId="07BC732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CE5" w:rsidP="00B82D1B" w:rsidRDefault="00646CE5" w14:paraId="589D2788" w14:textId="77777777">
      <w:pPr>
        <w:spacing w:after="0" w:line="240" w:lineRule="auto"/>
      </w:pPr>
      <w:r>
        <w:separator/>
      </w:r>
    </w:p>
  </w:footnote>
  <w:footnote w:type="continuationSeparator" w:id="0">
    <w:p w:rsidR="00646CE5" w:rsidP="00B82D1B" w:rsidRDefault="00646CE5" w14:paraId="2AADD6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CB" w:rsidRDefault="00646CE5" w14:paraId="4C47DBF1" w14:textId="6B054FAD">
    <w:pPr>
      <w:pStyle w:val="Kopfzeile"/>
    </w:pPr>
    <w:r>
      <w:rPr>
        <w:noProof/>
      </w:rPr>
      <w:pict w14:anchorId="1D3FE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89237849" style="position:absolute;margin-left:0;margin-top:0;width:414pt;height:600pt;z-index:-251631616;mso-wrap-edited:f;mso-width-percent:0;mso-height-percent:0;mso-position-horizontal:center;mso-position-horizontal-relative:margin;mso-position-vertical:center;mso-position-vertical-relative:margin;mso-width-percent:0;mso-height-percent:0" alt="" o:spid="_x0000_s1027" o:allowincell="f" type="#_x0000_t75">
          <v:imagedata gain="19661f" blacklevel="22938f" o:title="PH_Logo_2018_icon_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CB" w:rsidRDefault="00646CE5" w14:paraId="191C1FCF" w14:textId="789967B5">
    <w:pPr>
      <w:pStyle w:val="Kopfzeile"/>
    </w:pPr>
    <w:r>
      <w:rPr>
        <w:noProof/>
      </w:rPr>
      <w:pict w14:anchorId="0C532B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89237850" style="position:absolute;margin-left:0;margin-top:0;width:414pt;height:600pt;z-index:-251629568;mso-wrap-edited:f;mso-width-percent:0;mso-height-percent:0;mso-position-horizontal:center;mso-position-horizontal-relative:margin;mso-position-vertical:center;mso-position-vertical-relative:margin;mso-width-percent:0;mso-height-percent:0" alt="" o:spid="_x0000_s1026" o:allowincell="f" type="#_x0000_t75">
          <v:imagedata gain="19661f" blacklevel="22938f" o:title="PH_Logo_2018_icon_2"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CB" w:rsidRDefault="00646CE5" w14:paraId="0F9E50D9" w14:textId="106A49F1">
    <w:pPr>
      <w:pStyle w:val="Kopfzeile"/>
    </w:pPr>
    <w:r>
      <w:rPr>
        <w:noProof/>
      </w:rPr>
      <w:pict w14:anchorId="5E1E83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689237848" style="position:absolute;margin-left:0;margin-top:0;width:414pt;height:600pt;z-index:-251633664;mso-wrap-edited:f;mso-width-percent:0;mso-height-percent:0;mso-position-horizontal:center;mso-position-horizontal-relative:margin;mso-position-vertical:center;mso-position-vertical-relative:margin;mso-width-percent:0;mso-height-percent:0" alt="" o:spid="_x0000_s1025" o:allowincell="f" type="#_x0000_t75">
          <v:imagedata gain="19661f" blacklevel="22938f" o:title="PH_Logo_2018_icon_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C54"/>
    <w:multiLevelType w:val="hybridMultilevel"/>
    <w:tmpl w:val="C8340C18"/>
    <w:lvl w:ilvl="0" w:tplc="A7807416">
      <w:start w:val="2"/>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F2867FD"/>
    <w:multiLevelType w:val="hybridMultilevel"/>
    <w:tmpl w:val="1EC02F46"/>
    <w:lvl w:ilvl="0" w:tplc="0407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3FAE2537"/>
    <w:multiLevelType w:val="hybridMultilevel"/>
    <w:tmpl w:val="D9C8798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55847C78"/>
    <w:multiLevelType w:val="hybridMultilevel"/>
    <w:tmpl w:val="B25E57D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6DA05FF8"/>
    <w:multiLevelType w:val="hybridMultilevel"/>
    <w:tmpl w:val="E29CFD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84768443">
    <w:abstractNumId w:val="0"/>
  </w:num>
  <w:num w:numId="2" w16cid:durableId="645622541">
    <w:abstractNumId w:val="1"/>
  </w:num>
  <w:num w:numId="3" w16cid:durableId="1513258385">
    <w:abstractNumId w:val="4"/>
  </w:num>
  <w:num w:numId="4" w16cid:durableId="1726559761">
    <w:abstractNumId w:val="3"/>
  </w:num>
  <w:num w:numId="5" w16cid:durableId="62574462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34"/>
    <w:rsid w:val="00021937"/>
    <w:rsid w:val="000368C2"/>
    <w:rsid w:val="000F37B7"/>
    <w:rsid w:val="000F7492"/>
    <w:rsid w:val="00101ACE"/>
    <w:rsid w:val="001307A8"/>
    <w:rsid w:val="00163ADD"/>
    <w:rsid w:val="00187023"/>
    <w:rsid w:val="00257018"/>
    <w:rsid w:val="002A4EC3"/>
    <w:rsid w:val="002E3E3C"/>
    <w:rsid w:val="002F4AE3"/>
    <w:rsid w:val="003B792F"/>
    <w:rsid w:val="003D3759"/>
    <w:rsid w:val="00485638"/>
    <w:rsid w:val="00580FFA"/>
    <w:rsid w:val="005C0D22"/>
    <w:rsid w:val="00615C11"/>
    <w:rsid w:val="00646CE5"/>
    <w:rsid w:val="006541DA"/>
    <w:rsid w:val="00657376"/>
    <w:rsid w:val="0073650A"/>
    <w:rsid w:val="007767A7"/>
    <w:rsid w:val="007913A1"/>
    <w:rsid w:val="00800025"/>
    <w:rsid w:val="00824634"/>
    <w:rsid w:val="00852532"/>
    <w:rsid w:val="00854955"/>
    <w:rsid w:val="008C5C5E"/>
    <w:rsid w:val="008D67E9"/>
    <w:rsid w:val="00940530"/>
    <w:rsid w:val="009628AB"/>
    <w:rsid w:val="009B7E2D"/>
    <w:rsid w:val="00A115A3"/>
    <w:rsid w:val="00A36008"/>
    <w:rsid w:val="00A76DE8"/>
    <w:rsid w:val="00A8461A"/>
    <w:rsid w:val="00AA287D"/>
    <w:rsid w:val="00AA2D6E"/>
    <w:rsid w:val="00AB39E3"/>
    <w:rsid w:val="00AD7B17"/>
    <w:rsid w:val="00AF7BE3"/>
    <w:rsid w:val="00B20E43"/>
    <w:rsid w:val="00B23DEB"/>
    <w:rsid w:val="00B51D5A"/>
    <w:rsid w:val="00B77823"/>
    <w:rsid w:val="00B82D1B"/>
    <w:rsid w:val="00C14842"/>
    <w:rsid w:val="00CB4A01"/>
    <w:rsid w:val="00CC7402"/>
    <w:rsid w:val="00D65E10"/>
    <w:rsid w:val="00D72643"/>
    <w:rsid w:val="00D931CF"/>
    <w:rsid w:val="00E00C2D"/>
    <w:rsid w:val="00E21192"/>
    <w:rsid w:val="00E61431"/>
    <w:rsid w:val="00ED3CE9"/>
    <w:rsid w:val="00F466CA"/>
    <w:rsid w:val="00F65A8B"/>
    <w:rsid w:val="00FC4F2E"/>
    <w:rsid w:val="00FF7ACB"/>
    <w:rsid w:val="028C802D"/>
    <w:rsid w:val="07EDA100"/>
    <w:rsid w:val="14D490D4"/>
    <w:rsid w:val="1D37EA33"/>
    <w:rsid w:val="247736B2"/>
    <w:rsid w:val="27015A4F"/>
    <w:rsid w:val="28C025CC"/>
    <w:rsid w:val="2A88C813"/>
    <w:rsid w:val="2B2D2B3B"/>
    <w:rsid w:val="3D01738C"/>
    <w:rsid w:val="3EF9FD5D"/>
    <w:rsid w:val="42EEAD7F"/>
    <w:rsid w:val="4453B66A"/>
    <w:rsid w:val="4B202C79"/>
    <w:rsid w:val="4B63AAC4"/>
    <w:rsid w:val="4D2B4AFA"/>
    <w:rsid w:val="57D31047"/>
    <w:rsid w:val="58B07665"/>
    <w:rsid w:val="593D13A0"/>
    <w:rsid w:val="599C549C"/>
    <w:rsid w:val="620AECBD"/>
    <w:rsid w:val="63656B09"/>
    <w:rsid w:val="6517C851"/>
    <w:rsid w:val="66D5F2B8"/>
    <w:rsid w:val="68487D1D"/>
    <w:rsid w:val="69C2D3EF"/>
    <w:rsid w:val="69D6BC8E"/>
    <w:rsid w:val="6B8CA00F"/>
    <w:rsid w:val="6CB24B20"/>
    <w:rsid w:val="6E616D28"/>
    <w:rsid w:val="7142E926"/>
    <w:rsid w:val="71597BCE"/>
    <w:rsid w:val="72770E94"/>
    <w:rsid w:val="730056AC"/>
    <w:rsid w:val="77A7054D"/>
    <w:rsid w:val="7C17946C"/>
    <w:rsid w:val="7DC2AC6D"/>
    <w:rsid w:val="7E77A1BD"/>
    <w:rsid w:val="7EBDF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9CD6F"/>
  <w15:chartTrackingRefBased/>
  <w15:docId w15:val="{66E50E01-65A9-0E4B-B792-9D2257A4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uiPriority w:val="99"/>
    <w:unhideWhenUsed/>
    <w:rsid w:val="00615C11"/>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hljs-selector-attr" w:customStyle="1">
    <w:name w:val="hljs-selector-attr"/>
    <w:basedOn w:val="Absatz-Standardschriftart"/>
    <w:rsid w:val="003B792F"/>
  </w:style>
  <w:style w:type="character" w:styleId="hljs-selector-tag" w:customStyle="1">
    <w:name w:val="hljs-selector-tag"/>
    <w:basedOn w:val="Absatz-Standardschriftart"/>
    <w:rsid w:val="003B792F"/>
  </w:style>
  <w:style w:type="paragraph" w:styleId="Kopfzeile">
    <w:name w:val="header"/>
    <w:basedOn w:val="Standard"/>
    <w:link w:val="KopfzeileZchn"/>
    <w:uiPriority w:val="99"/>
    <w:unhideWhenUsed/>
    <w:rsid w:val="00B82D1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B82D1B"/>
  </w:style>
  <w:style w:type="paragraph" w:styleId="Fuzeile">
    <w:name w:val="footer"/>
    <w:basedOn w:val="Standard"/>
    <w:link w:val="FuzeileZchn"/>
    <w:uiPriority w:val="99"/>
    <w:unhideWhenUsed/>
    <w:rsid w:val="00B82D1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B82D1B"/>
  </w:style>
  <w:style w:type="character" w:styleId="Hyperlink">
    <w:name w:val="Hyperlink"/>
    <w:basedOn w:val="Absatz-Standardschriftart"/>
    <w:uiPriority w:val="99"/>
    <w:unhideWhenUsed/>
    <w:rsid w:val="00B82D1B"/>
    <w:rPr>
      <w:color w:val="0563C1" w:themeColor="hyperlink"/>
      <w:u w:val="single"/>
    </w:rPr>
  </w:style>
  <w:style w:type="character" w:styleId="NichtaufgelsteErwhnung">
    <w:name w:val="Unresolved Mention"/>
    <w:basedOn w:val="Absatz-Standardschriftart"/>
    <w:uiPriority w:val="99"/>
    <w:semiHidden/>
    <w:unhideWhenUsed/>
    <w:rsid w:val="00B82D1B"/>
    <w:rPr>
      <w:color w:val="605E5C"/>
      <w:shd w:val="clear" w:color="auto" w:fill="E1DFDD"/>
    </w:rPr>
  </w:style>
  <w:style w:type="paragraph" w:styleId="Sprechblasentext">
    <w:name w:val="Balloon Text"/>
    <w:basedOn w:val="Standard"/>
    <w:link w:val="SprechblasentextZchn"/>
    <w:uiPriority w:val="99"/>
    <w:semiHidden/>
    <w:unhideWhenUsed/>
    <w:rsid w:val="00B77823"/>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B77823"/>
    <w:rPr>
      <w:rFonts w:ascii="Segoe UI" w:hAnsi="Segoe UI" w:cs="Segoe UI"/>
      <w:sz w:val="18"/>
      <w:szCs w:val="18"/>
    </w:rPr>
  </w:style>
  <w:style w:type="paragraph" w:styleId="Listenabsatz">
    <w:name w:val="List Paragraph"/>
    <w:basedOn w:val="Standard"/>
    <w:uiPriority w:val="34"/>
    <w:qFormat/>
    <w:rsid w:val="00776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microsoft.com/office/2016/09/relationships/commentsIds" Target="commentsIds.xml" Id="R9808474a4dfb44ed" /><Relationship Type="http://schemas.microsoft.com/office/2011/relationships/commentsExtended" Target="commentsExtended.xml" Id="R259d63ccc2494592" /><Relationship Type="http://schemas.microsoft.com/office/2011/relationships/people" Target="people.xml" Id="R144fb15d1be94805" /><Relationship Type="http://schemas.openxmlformats.org/officeDocument/2006/relationships/hyperlink" Target="mailto:Young@oeph.at" TargetMode="External" Id="R84cb67216402432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rinliebl/Downloads/&#27236;PH_Formatvorlage%204_Offizielles%20Schreiben.dotx" TargetMode="External"/></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6227-765E-DD44-8243-4C248464F9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橤PH_Formatvorlage 4_Offizielles Schreiben.dotx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Kathrin Liebl</dc:creator>
  <keywords/>
  <dc:description/>
  <lastModifiedBy>Amelie Sigge</lastModifiedBy>
  <revision>6</revision>
  <dcterms:created xsi:type="dcterms:W3CDTF">2026-03-07T20:06:00.0000000Z</dcterms:created>
  <dcterms:modified xsi:type="dcterms:W3CDTF">2026-05-04T17:30:40.5987068Z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4df24308-1273-4661-a9ef-fd340e9e0b7c</vt:lpwstr>
  </property>
</Properties>
</file>